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EDC8" w14:textId="77777777" w:rsidR="00B17B21" w:rsidRPr="00DA6666" w:rsidRDefault="00B17B21" w:rsidP="00B17B21">
      <w:pPr>
        <w:pBdr>
          <w:bottom w:val="single" w:sz="12" w:space="1" w:color="auto"/>
        </w:pBdr>
        <w:rPr>
          <w:b/>
          <w:bCs/>
          <w:lang w:val="en-US"/>
        </w:rPr>
      </w:pPr>
      <w:r>
        <w:rPr>
          <w:b/>
          <w:bCs/>
          <w:lang w:val="en-GB"/>
        </w:rPr>
        <w:t>Report Management Contract</w:t>
      </w:r>
    </w:p>
    <w:p w14:paraId="5C40117C" w14:textId="77777777" w:rsidR="00B17B21" w:rsidRPr="00DA6666" w:rsidRDefault="00B17B21" w:rsidP="00B17B21">
      <w:pPr>
        <w:rPr>
          <w:lang w:val="en-US"/>
        </w:rPr>
      </w:pPr>
    </w:p>
    <w:p w14:paraId="20EB9764" w14:textId="77777777" w:rsidR="00B17B21" w:rsidRPr="00DA6666" w:rsidRDefault="00B17B21" w:rsidP="00B17B21">
      <w:pPr>
        <w:rPr>
          <w:lang w:val="en-US"/>
        </w:rPr>
      </w:pPr>
    </w:p>
    <w:p w14:paraId="091BACE6" w14:textId="77777777" w:rsidR="00B17B21" w:rsidRPr="00DA6666" w:rsidRDefault="00B17B21" w:rsidP="00B17B21">
      <w:pPr>
        <w:rPr>
          <w:lang w:val="en-US"/>
        </w:rPr>
      </w:pPr>
      <w:r>
        <w:rPr>
          <w:lang w:val="en-GB"/>
        </w:rPr>
        <w:t>The following arrangements have been made between</w:t>
      </w:r>
    </w:p>
    <w:p w14:paraId="05C4B7AB" w14:textId="77777777" w:rsidR="00B17B21" w:rsidRPr="00DA6666" w:rsidRDefault="00B17B21" w:rsidP="00B17B21">
      <w:pPr>
        <w:rPr>
          <w:lang w:val="en-US"/>
        </w:rPr>
      </w:pPr>
    </w:p>
    <w:p w14:paraId="66C6D2DE" w14:textId="77777777" w:rsidR="00B17B21" w:rsidRPr="00DA6666" w:rsidRDefault="00B17B21" w:rsidP="00B17B21">
      <w:pPr>
        <w:rPr>
          <w:i/>
          <w:iCs/>
          <w:lang w:val="en-US"/>
        </w:rPr>
      </w:pPr>
      <w:r>
        <w:rPr>
          <w:i/>
          <w:iCs/>
          <w:lang w:val="en-GB"/>
        </w:rPr>
        <w:t xml:space="preserve">Reporting office AB </w:t>
      </w:r>
    </w:p>
    <w:p w14:paraId="74946DE1" w14:textId="77777777" w:rsidR="00B17B21" w:rsidRPr="00DA6666" w:rsidRDefault="00B17B21" w:rsidP="00B17B21">
      <w:pPr>
        <w:rPr>
          <w:i/>
          <w:iCs/>
          <w:lang w:val="en-US"/>
        </w:rPr>
      </w:pPr>
      <w:r>
        <w:rPr>
          <w:i/>
          <w:iCs/>
          <w:lang w:val="en-GB"/>
        </w:rPr>
        <w:t>Street, number</w:t>
      </w:r>
    </w:p>
    <w:p w14:paraId="7D484BC4" w14:textId="77777777" w:rsidR="00B17B21" w:rsidRPr="00DA6666" w:rsidRDefault="00B17B21" w:rsidP="00B17B21">
      <w:pPr>
        <w:rPr>
          <w:i/>
          <w:iCs/>
          <w:lang w:val="en-US"/>
        </w:rPr>
      </w:pPr>
      <w:r>
        <w:rPr>
          <w:i/>
          <w:iCs/>
          <w:lang w:val="en-GB"/>
        </w:rPr>
        <w:t>Post code, postal town</w:t>
      </w:r>
    </w:p>
    <w:p w14:paraId="598FA84B" w14:textId="77777777" w:rsidR="00B17B21" w:rsidRPr="00DA6666" w:rsidRDefault="00B17B21" w:rsidP="00B17B21">
      <w:pPr>
        <w:rPr>
          <w:lang w:val="en-US"/>
        </w:rPr>
      </w:pPr>
    </w:p>
    <w:p w14:paraId="77383C74" w14:textId="77777777" w:rsidR="00B17B21" w:rsidRPr="00DA6666" w:rsidRDefault="00B17B21" w:rsidP="00B17B21">
      <w:pPr>
        <w:jc w:val="right"/>
        <w:rPr>
          <w:lang w:val="en-US"/>
        </w:rPr>
      </w:pPr>
      <w:r>
        <w:rPr>
          <w:lang w:val="en-GB"/>
        </w:rPr>
        <w:t>– Reporting office / Contractor –</w:t>
      </w:r>
    </w:p>
    <w:p w14:paraId="43742DF8" w14:textId="77777777" w:rsidR="00B17B21" w:rsidRPr="00DA6666" w:rsidRDefault="00B17B21" w:rsidP="00B17B21">
      <w:pPr>
        <w:rPr>
          <w:lang w:val="en-US"/>
        </w:rPr>
      </w:pPr>
    </w:p>
    <w:p w14:paraId="5B145870" w14:textId="77777777" w:rsidR="00B17B21" w:rsidRPr="00DA6666" w:rsidRDefault="00B17B21" w:rsidP="00B17B21">
      <w:pPr>
        <w:rPr>
          <w:lang w:val="en-US"/>
        </w:rPr>
      </w:pPr>
      <w:r>
        <w:rPr>
          <w:lang w:val="en-GB"/>
        </w:rPr>
        <w:t>and</w:t>
      </w:r>
    </w:p>
    <w:p w14:paraId="36919642" w14:textId="77777777" w:rsidR="00B17B21" w:rsidRPr="00DA6666" w:rsidRDefault="00B17B21" w:rsidP="00B17B21">
      <w:pPr>
        <w:rPr>
          <w:lang w:val="en-US"/>
        </w:rPr>
      </w:pPr>
    </w:p>
    <w:p w14:paraId="0A3E2617" w14:textId="77777777" w:rsidR="00B17B21" w:rsidRPr="00DA6666" w:rsidRDefault="00B17B21" w:rsidP="00B17B21">
      <w:pPr>
        <w:rPr>
          <w:i/>
          <w:iCs/>
          <w:lang w:val="en-US"/>
        </w:rPr>
      </w:pPr>
      <w:r>
        <w:rPr>
          <w:i/>
          <w:iCs/>
          <w:lang w:val="en-GB"/>
        </w:rPr>
        <w:t>XY Company</w:t>
      </w:r>
    </w:p>
    <w:p w14:paraId="0D47F81B" w14:textId="77777777" w:rsidR="00B17B21" w:rsidRPr="00DA6666" w:rsidRDefault="00B17B21" w:rsidP="00B17B21">
      <w:pPr>
        <w:rPr>
          <w:i/>
          <w:iCs/>
          <w:lang w:val="en-US"/>
        </w:rPr>
      </w:pPr>
      <w:r>
        <w:rPr>
          <w:i/>
          <w:iCs/>
          <w:lang w:val="en-GB"/>
        </w:rPr>
        <w:t>Street, number</w:t>
      </w:r>
    </w:p>
    <w:p w14:paraId="1D05DCAE" w14:textId="77777777" w:rsidR="00B17B21" w:rsidRPr="00DA6666" w:rsidRDefault="00B17B21" w:rsidP="00B17B21">
      <w:pPr>
        <w:rPr>
          <w:i/>
          <w:iCs/>
          <w:lang w:val="en-US"/>
        </w:rPr>
      </w:pPr>
      <w:r>
        <w:rPr>
          <w:i/>
          <w:iCs/>
          <w:lang w:val="en-GB"/>
        </w:rPr>
        <w:t>Post code, postal town</w:t>
      </w:r>
    </w:p>
    <w:p w14:paraId="04EFD3E2" w14:textId="77777777" w:rsidR="00B17B21" w:rsidRPr="00DA6666" w:rsidRDefault="00B17B21" w:rsidP="00B17B21">
      <w:pPr>
        <w:rPr>
          <w:lang w:val="en-US"/>
        </w:rPr>
      </w:pPr>
    </w:p>
    <w:p w14:paraId="7FA04250" w14:textId="77777777" w:rsidR="00B17B21" w:rsidRPr="00DA6666" w:rsidRDefault="00B17B21" w:rsidP="00B17B21">
      <w:pPr>
        <w:jc w:val="right"/>
        <w:rPr>
          <w:lang w:val="en-US"/>
        </w:rPr>
      </w:pPr>
      <w:r>
        <w:rPr>
          <w:lang w:val="en-GB"/>
        </w:rPr>
        <w:t>– Client / Company –</w:t>
      </w:r>
    </w:p>
    <w:p w14:paraId="421D06A0" w14:textId="77777777" w:rsidR="00B17B21" w:rsidRPr="00DA6666" w:rsidRDefault="00B17B21" w:rsidP="00B17B21">
      <w:pPr>
        <w:rPr>
          <w:lang w:val="en-US"/>
        </w:rPr>
      </w:pPr>
    </w:p>
    <w:p w14:paraId="6E9402DC" w14:textId="77777777" w:rsidR="00B17B21" w:rsidRPr="00DA6666" w:rsidRDefault="00B17B21" w:rsidP="00B17B21">
      <w:pPr>
        <w:rPr>
          <w:lang w:val="en-US"/>
        </w:rPr>
      </w:pPr>
    </w:p>
    <w:p w14:paraId="3F3EB0DA" w14:textId="77777777" w:rsidR="00B17B21" w:rsidRPr="00DA6666" w:rsidRDefault="00B17B21" w:rsidP="00B17B21">
      <w:pPr>
        <w:rPr>
          <w:lang w:val="en-US"/>
        </w:rPr>
      </w:pPr>
      <w:r>
        <w:rPr>
          <w:lang w:val="en-GB"/>
        </w:rPr>
        <w:t xml:space="preserve">concerning the activities of the Contractor as a reporting office: </w:t>
      </w:r>
    </w:p>
    <w:p w14:paraId="631369A5" w14:textId="77777777" w:rsidR="00B17B21" w:rsidRPr="00DA6666" w:rsidRDefault="00B17B21" w:rsidP="00B17B21">
      <w:pPr>
        <w:rPr>
          <w:lang w:val="en-US"/>
        </w:rPr>
      </w:pPr>
    </w:p>
    <w:p w14:paraId="7AC8BF98" w14:textId="77777777" w:rsidR="00B17B21" w:rsidRPr="00DA6666" w:rsidRDefault="00B17B21" w:rsidP="00B17B21">
      <w:pPr>
        <w:rPr>
          <w:lang w:val="en-US"/>
        </w:rPr>
      </w:pPr>
    </w:p>
    <w:p w14:paraId="026B3690" w14:textId="77777777" w:rsidR="00B17B21" w:rsidRPr="00DA6666" w:rsidRDefault="00B17B21" w:rsidP="00B17B21">
      <w:pPr>
        <w:pStyle w:val="berschrift1"/>
        <w:rPr>
          <w:rFonts w:cs="Arial"/>
          <w:szCs w:val="22"/>
          <w:lang w:val="en-US"/>
        </w:rPr>
      </w:pPr>
      <w:r>
        <w:rPr>
          <w:rFonts w:cs="Arial"/>
          <w:bCs/>
          <w:szCs w:val="22"/>
          <w:lang w:val="en-GB"/>
        </w:rPr>
        <w:t>1. Subject matter of this contract</w:t>
      </w:r>
    </w:p>
    <w:p w14:paraId="6618EE07" w14:textId="77777777" w:rsidR="00B17B21" w:rsidRPr="00DA6666" w:rsidRDefault="00B17B21" w:rsidP="00B17B21">
      <w:pPr>
        <w:pStyle w:val="berschrift2"/>
        <w:rPr>
          <w:rFonts w:cs="Arial"/>
          <w:szCs w:val="22"/>
          <w:lang w:val="en-US"/>
        </w:rPr>
      </w:pPr>
      <w:r>
        <w:rPr>
          <w:rFonts w:cs="Arial"/>
          <w:bCs/>
          <w:szCs w:val="22"/>
          <w:lang w:val="en-GB"/>
        </w:rPr>
        <w:t>1.1 Job description of the ombudsman’s office</w:t>
      </w:r>
    </w:p>
    <w:p w14:paraId="657079D4" w14:textId="77777777" w:rsidR="00B17B21" w:rsidRPr="00DA6666" w:rsidRDefault="00B17B21" w:rsidP="00B17B21">
      <w:pPr>
        <w:rPr>
          <w:lang w:val="en-US"/>
        </w:rPr>
      </w:pPr>
      <w:r>
        <w:rPr>
          <w:lang w:val="en-GB"/>
        </w:rPr>
        <w:t xml:space="preserve">The Contractor shall act for the Client as an ombudsman’s office and shall undertake the statutory tasks of an internal reporting office pursuant to the </w:t>
      </w:r>
      <w:proofErr w:type="spellStart"/>
      <w:r>
        <w:rPr>
          <w:lang w:val="en-GB"/>
        </w:rPr>
        <w:t>Whistleblower</w:t>
      </w:r>
      <w:proofErr w:type="spellEnd"/>
      <w:r>
        <w:rPr>
          <w:lang w:val="en-GB"/>
        </w:rPr>
        <w:t xml:space="preserve"> Protection Act (</w:t>
      </w:r>
      <w:proofErr w:type="spellStart"/>
      <w:r>
        <w:rPr>
          <w:lang w:val="en-GB"/>
        </w:rPr>
        <w:t>Hinweisgeberschutzgesetz</w:t>
      </w:r>
      <w:proofErr w:type="spellEnd"/>
      <w:r>
        <w:rPr>
          <w:lang w:val="en-GB"/>
        </w:rPr>
        <w:t>)</w:t>
      </w:r>
      <w:r>
        <w:rPr>
          <w:rStyle w:val="Funotenzeichen"/>
          <w:lang w:val="en-GB"/>
        </w:rPr>
        <w:footnoteReference w:id="1"/>
      </w:r>
      <w:r>
        <w:rPr>
          <w:lang w:val="en-GB"/>
        </w:rPr>
        <w:t>.</w:t>
      </w:r>
    </w:p>
    <w:p w14:paraId="26FEB174" w14:textId="77777777" w:rsidR="00B17B21" w:rsidRPr="00DA6666" w:rsidRDefault="00B17B21" w:rsidP="00B17B21">
      <w:pPr>
        <w:rPr>
          <w:lang w:val="en-US"/>
        </w:rPr>
      </w:pPr>
    </w:p>
    <w:p w14:paraId="13EA7726" w14:textId="77777777" w:rsidR="00B17B21" w:rsidRPr="00DA6666" w:rsidRDefault="00B17B21" w:rsidP="00B17B21">
      <w:pPr>
        <w:pStyle w:val="berschrift2"/>
        <w:rPr>
          <w:rFonts w:cs="Arial"/>
          <w:szCs w:val="22"/>
          <w:lang w:val="en-US"/>
        </w:rPr>
      </w:pPr>
      <w:r>
        <w:rPr>
          <w:rFonts w:cs="Arial"/>
          <w:bCs/>
          <w:szCs w:val="22"/>
          <w:lang w:val="en-GB"/>
        </w:rPr>
        <w:t>1.2 Services of the ombudsman’s office</w:t>
      </w:r>
    </w:p>
    <w:p w14:paraId="24E9B5A3" w14:textId="77777777" w:rsidR="00B17B21" w:rsidRPr="00DA6666" w:rsidRDefault="00B17B21" w:rsidP="00B17B21">
      <w:pPr>
        <w:rPr>
          <w:lang w:val="en-US"/>
        </w:rPr>
      </w:pPr>
      <w:r>
        <w:rPr>
          <w:lang w:val="en-GB"/>
        </w:rPr>
        <w:t xml:space="preserve">Within the framework of his activities as the ombudsman’s office, the Contractor shall perform </w:t>
      </w:r>
      <w:proofErr w:type="gramStart"/>
      <w:r>
        <w:rPr>
          <w:lang w:val="en-GB"/>
        </w:rPr>
        <w:t>in particular the</w:t>
      </w:r>
      <w:proofErr w:type="gramEnd"/>
      <w:r>
        <w:rPr>
          <w:lang w:val="en-GB"/>
        </w:rPr>
        <w:t xml:space="preserve"> following services for the Client: </w:t>
      </w:r>
    </w:p>
    <w:p w14:paraId="34E9F6F9" w14:textId="77777777" w:rsidR="00B17B21" w:rsidRPr="00DA6666" w:rsidRDefault="00B17B21" w:rsidP="00B17B21">
      <w:pPr>
        <w:rPr>
          <w:lang w:val="en-US"/>
        </w:rPr>
      </w:pPr>
    </w:p>
    <w:p w14:paraId="0EB4703F" w14:textId="77777777" w:rsidR="00B17B21" w:rsidRPr="00DA6666" w:rsidRDefault="00B17B21" w:rsidP="00B17B21">
      <w:pPr>
        <w:numPr>
          <w:ilvl w:val="0"/>
          <w:numId w:val="1"/>
        </w:numPr>
        <w:ind w:left="993" w:hanging="426"/>
        <w:rPr>
          <w:lang w:val="en-US"/>
        </w:rPr>
      </w:pPr>
      <w:r>
        <w:rPr>
          <w:lang w:val="en-GB"/>
        </w:rPr>
        <w:t>Handling incoming reports and checking them for relevance in compliance law</w:t>
      </w:r>
    </w:p>
    <w:p w14:paraId="3B42E6CC" w14:textId="77777777" w:rsidR="00B17B21" w:rsidRPr="00DA6666" w:rsidRDefault="00B17B21" w:rsidP="00B17B21">
      <w:pPr>
        <w:numPr>
          <w:ilvl w:val="0"/>
          <w:numId w:val="1"/>
        </w:numPr>
        <w:ind w:left="993" w:hanging="426"/>
        <w:rPr>
          <w:lang w:val="en-US"/>
        </w:rPr>
      </w:pPr>
      <w:r>
        <w:rPr>
          <w:lang w:val="en-GB"/>
        </w:rPr>
        <w:t xml:space="preserve">Communicating with the </w:t>
      </w:r>
      <w:proofErr w:type="spellStart"/>
      <w:r>
        <w:rPr>
          <w:lang w:val="en-GB"/>
        </w:rPr>
        <w:t>whistleblower</w:t>
      </w:r>
      <w:proofErr w:type="spellEnd"/>
      <w:r>
        <w:rPr>
          <w:lang w:val="en-GB"/>
        </w:rPr>
        <w:t xml:space="preserve">, in particularly providing timely confirmation of receipt and informing of the outcome of an investigation of the suspicious facts reported </w:t>
      </w:r>
    </w:p>
    <w:p w14:paraId="109CE5A5" w14:textId="77777777" w:rsidR="00B17B21" w:rsidRPr="00DA6666" w:rsidRDefault="00B17B21" w:rsidP="00B17B21">
      <w:pPr>
        <w:numPr>
          <w:ilvl w:val="0"/>
          <w:numId w:val="1"/>
        </w:numPr>
        <w:ind w:left="993" w:hanging="426"/>
        <w:rPr>
          <w:lang w:val="en-US"/>
        </w:rPr>
      </w:pPr>
      <w:r>
        <w:rPr>
          <w:lang w:val="en-GB"/>
        </w:rPr>
        <w:t>Informing the Client’s compliance officer</w:t>
      </w:r>
      <w:r>
        <w:rPr>
          <w:rStyle w:val="Funotenzeichen"/>
          <w:lang w:val="en-GB"/>
        </w:rPr>
        <w:footnoteReference w:id="2"/>
      </w:r>
      <w:r>
        <w:rPr>
          <w:lang w:val="en-GB"/>
        </w:rPr>
        <w:t xml:space="preserve"> of reports received as specified in section 1.5 of this contract </w:t>
      </w:r>
    </w:p>
    <w:p w14:paraId="6E22B3FE" w14:textId="77777777" w:rsidR="00B17B21" w:rsidRPr="00DA6666" w:rsidRDefault="00B17B21" w:rsidP="00B17B21">
      <w:pPr>
        <w:numPr>
          <w:ilvl w:val="0"/>
          <w:numId w:val="1"/>
        </w:numPr>
        <w:ind w:left="993" w:hanging="426"/>
        <w:rPr>
          <w:lang w:val="en-US"/>
        </w:rPr>
      </w:pPr>
      <w:r>
        <w:rPr>
          <w:lang w:val="en-GB"/>
        </w:rPr>
        <w:t xml:space="preserve">Advising the </w:t>
      </w:r>
      <w:proofErr w:type="spellStart"/>
      <w:r>
        <w:rPr>
          <w:lang w:val="en-GB"/>
        </w:rPr>
        <w:t>whistleblower</w:t>
      </w:r>
      <w:proofErr w:type="spellEnd"/>
      <w:r>
        <w:rPr>
          <w:lang w:val="en-GB"/>
        </w:rPr>
        <w:t xml:space="preserve"> in respect of legal questions concerning the report (</w:t>
      </w:r>
      <w:proofErr w:type="gramStart"/>
      <w:r>
        <w:rPr>
          <w:lang w:val="en-GB"/>
        </w:rPr>
        <w:t>e.g.</w:t>
      </w:r>
      <w:proofErr w:type="gramEnd"/>
      <w:r>
        <w:rPr>
          <w:lang w:val="en-GB"/>
        </w:rPr>
        <w:t xml:space="preserve"> regarding confidentiality, liability and the consequences of reporting) </w:t>
      </w:r>
    </w:p>
    <w:p w14:paraId="44601B4C" w14:textId="77777777" w:rsidR="00B17B21" w:rsidRPr="00DA6666" w:rsidRDefault="00B17B21" w:rsidP="00B17B21">
      <w:pPr>
        <w:numPr>
          <w:ilvl w:val="0"/>
          <w:numId w:val="1"/>
        </w:numPr>
        <w:ind w:left="993" w:hanging="426"/>
        <w:rPr>
          <w:lang w:val="en-US"/>
        </w:rPr>
      </w:pPr>
      <w:r>
        <w:rPr>
          <w:lang w:val="en-GB"/>
        </w:rPr>
        <w:t>Advising the Client on further actions, for example in the framework of an internal investigation</w:t>
      </w:r>
    </w:p>
    <w:p w14:paraId="36040E8C" w14:textId="77777777" w:rsidR="00B17B21" w:rsidRPr="00DA6666" w:rsidRDefault="00B17B21" w:rsidP="00B17B21">
      <w:pPr>
        <w:rPr>
          <w:lang w:val="en-US"/>
        </w:rPr>
      </w:pPr>
    </w:p>
    <w:p w14:paraId="54AEE5D4" w14:textId="77777777" w:rsidR="00B17B21" w:rsidRPr="00DA6666" w:rsidRDefault="00B17B21" w:rsidP="00B17B21">
      <w:pPr>
        <w:pStyle w:val="berschrift2"/>
        <w:rPr>
          <w:rFonts w:cs="Arial"/>
          <w:szCs w:val="22"/>
          <w:lang w:val="en-US"/>
        </w:rPr>
      </w:pPr>
      <w:r>
        <w:rPr>
          <w:rFonts w:cs="Arial"/>
          <w:bCs/>
          <w:szCs w:val="22"/>
          <w:lang w:val="en-GB"/>
        </w:rPr>
        <w:lastRenderedPageBreak/>
        <w:t xml:space="preserve">[Optional: 1.3 Operation of a digital </w:t>
      </w:r>
      <w:proofErr w:type="spellStart"/>
      <w:r>
        <w:rPr>
          <w:rFonts w:cs="Arial"/>
          <w:bCs/>
          <w:szCs w:val="22"/>
          <w:lang w:val="en-GB"/>
        </w:rPr>
        <w:t>whistleblower</w:t>
      </w:r>
      <w:proofErr w:type="spellEnd"/>
      <w:r>
        <w:rPr>
          <w:rFonts w:cs="Arial"/>
          <w:bCs/>
          <w:szCs w:val="22"/>
          <w:lang w:val="en-GB"/>
        </w:rPr>
        <w:t xml:space="preserve"> system and handling the reports</w:t>
      </w:r>
    </w:p>
    <w:p w14:paraId="54B3CF1B" w14:textId="77777777" w:rsidR="00B17B21" w:rsidRPr="00DA6666" w:rsidRDefault="00B17B21" w:rsidP="00B17B21">
      <w:pPr>
        <w:rPr>
          <w:lang w:val="en-US"/>
        </w:rPr>
      </w:pPr>
      <w:r>
        <w:rPr>
          <w:lang w:val="en-GB"/>
        </w:rPr>
        <w:t xml:space="preserve">The ombudsman’s office shall provide a digital </w:t>
      </w:r>
      <w:proofErr w:type="spellStart"/>
      <w:r>
        <w:rPr>
          <w:lang w:val="en-GB"/>
        </w:rPr>
        <w:t>whistleblower</w:t>
      </w:r>
      <w:proofErr w:type="spellEnd"/>
      <w:r>
        <w:rPr>
          <w:lang w:val="en-GB"/>
        </w:rPr>
        <w:t xml:space="preserve"> system and guarantee its availability during the term of this contract. In this connection the ombudsman’s office shall also provide the services stated in section 1.2 of this contract.]</w:t>
      </w:r>
    </w:p>
    <w:p w14:paraId="111D1787" w14:textId="77777777" w:rsidR="00B17B21" w:rsidRPr="00DA6666" w:rsidRDefault="00B17B21" w:rsidP="00B17B21">
      <w:pPr>
        <w:rPr>
          <w:lang w:val="en-US"/>
        </w:rPr>
      </w:pPr>
    </w:p>
    <w:p w14:paraId="241C4BEB" w14:textId="77777777" w:rsidR="00B17B21" w:rsidRPr="00DA6666" w:rsidRDefault="00B17B21" w:rsidP="00B17B21">
      <w:pPr>
        <w:pStyle w:val="berschrift2"/>
        <w:rPr>
          <w:rFonts w:cs="Arial"/>
          <w:szCs w:val="22"/>
          <w:lang w:val="en-US"/>
        </w:rPr>
      </w:pPr>
      <w:r>
        <w:rPr>
          <w:rFonts w:cs="Arial"/>
          <w:bCs/>
          <w:szCs w:val="22"/>
          <w:lang w:val="en-GB"/>
        </w:rPr>
        <w:t>1.4 Modifications resulting from legal developments</w:t>
      </w:r>
    </w:p>
    <w:p w14:paraId="6C9940D9" w14:textId="77777777" w:rsidR="00B17B21" w:rsidRPr="00DA6666" w:rsidRDefault="00B17B21" w:rsidP="00B17B21">
      <w:pPr>
        <w:rPr>
          <w:lang w:val="en-US"/>
        </w:rPr>
      </w:pPr>
      <w:r>
        <w:rPr>
          <w:lang w:val="en-GB"/>
        </w:rPr>
        <w:t xml:space="preserve">The ombudsman’s office shall examine legal developments that affect the implementation of the </w:t>
      </w:r>
      <w:proofErr w:type="spellStart"/>
      <w:r>
        <w:rPr>
          <w:lang w:val="en-GB"/>
        </w:rPr>
        <w:t>whistleblower</w:t>
      </w:r>
      <w:proofErr w:type="spellEnd"/>
      <w:r>
        <w:rPr>
          <w:lang w:val="en-GB"/>
        </w:rPr>
        <w:t xml:space="preserve"> system during the term of this contract and shall notify the Client of relevant changes and provide suggestions for implementation in a suitable form.</w:t>
      </w:r>
      <w:r>
        <w:rPr>
          <w:color w:val="000000"/>
          <w:lang w:val="en-GB"/>
        </w:rPr>
        <w:t xml:space="preserve"> </w:t>
      </w:r>
    </w:p>
    <w:p w14:paraId="4E59B3CD" w14:textId="77777777" w:rsidR="00B17B21" w:rsidRPr="00DA6666" w:rsidRDefault="00B17B21" w:rsidP="00B17B21">
      <w:pPr>
        <w:rPr>
          <w:lang w:val="en-US"/>
        </w:rPr>
      </w:pPr>
    </w:p>
    <w:p w14:paraId="625399C2" w14:textId="77777777" w:rsidR="00B17B21" w:rsidRPr="00DA6666" w:rsidRDefault="00B17B21" w:rsidP="00B17B21">
      <w:pPr>
        <w:pStyle w:val="berschrift2"/>
        <w:rPr>
          <w:rFonts w:cs="Arial"/>
          <w:szCs w:val="22"/>
          <w:lang w:val="en-US"/>
        </w:rPr>
      </w:pPr>
      <w:r>
        <w:rPr>
          <w:rFonts w:cs="Arial"/>
          <w:bCs/>
          <w:szCs w:val="22"/>
          <w:lang w:val="en-GB"/>
        </w:rPr>
        <w:t>1.5 Obligations of the ombudsman’s office in connection with reports received</w:t>
      </w:r>
    </w:p>
    <w:p w14:paraId="3C3EA2F5" w14:textId="77777777" w:rsidR="00B17B21" w:rsidRPr="00DA6666" w:rsidRDefault="00B17B21" w:rsidP="00B17B21">
      <w:pPr>
        <w:rPr>
          <w:lang w:val="en-US"/>
        </w:rPr>
      </w:pPr>
      <w:r>
        <w:rPr>
          <w:lang w:val="en-GB"/>
        </w:rPr>
        <w:t xml:space="preserve">The ombudsman’s office shall provide confirmation of receipt of the report to the </w:t>
      </w:r>
      <w:proofErr w:type="spellStart"/>
      <w:r>
        <w:rPr>
          <w:lang w:val="en-GB"/>
        </w:rPr>
        <w:t>whistleblower</w:t>
      </w:r>
      <w:proofErr w:type="spellEnd"/>
      <w:r>
        <w:rPr>
          <w:lang w:val="en-GB"/>
        </w:rPr>
        <w:t xml:space="preserve"> within seven days of receipt and shall communicate with the </w:t>
      </w:r>
      <w:proofErr w:type="spellStart"/>
      <w:r>
        <w:rPr>
          <w:lang w:val="en-GB"/>
        </w:rPr>
        <w:t>whistleblower</w:t>
      </w:r>
      <w:proofErr w:type="spellEnd"/>
      <w:r>
        <w:rPr>
          <w:lang w:val="en-GB"/>
        </w:rPr>
        <w:t xml:space="preserve"> where necessary. </w:t>
      </w:r>
    </w:p>
    <w:p w14:paraId="49FE7808" w14:textId="77777777" w:rsidR="00B17B21" w:rsidRPr="00DA6666" w:rsidRDefault="00B17B21" w:rsidP="00B17B21">
      <w:pPr>
        <w:rPr>
          <w:lang w:val="en-US"/>
        </w:rPr>
      </w:pPr>
    </w:p>
    <w:p w14:paraId="424F9B61" w14:textId="77777777" w:rsidR="00B17B21" w:rsidRPr="00DA6666" w:rsidRDefault="00B17B21" w:rsidP="00B17B21">
      <w:pPr>
        <w:rPr>
          <w:lang w:val="en-US"/>
        </w:rPr>
      </w:pPr>
      <w:r>
        <w:rPr>
          <w:lang w:val="en-GB"/>
        </w:rPr>
        <w:t xml:space="preserve">The ombudsman’s office shall make an initial check of the received report for validity and legal relevance. The ombudsman’s office shall also check whether the report falls within the material scope of the Client’s </w:t>
      </w:r>
      <w:proofErr w:type="spellStart"/>
      <w:r>
        <w:rPr>
          <w:lang w:val="en-GB"/>
        </w:rPr>
        <w:t>whistleblower</w:t>
      </w:r>
      <w:proofErr w:type="spellEnd"/>
      <w:r>
        <w:rPr>
          <w:lang w:val="en-GB"/>
        </w:rPr>
        <w:t xml:space="preserve"> policy. The ombudsman’s office must inform the Client’s compliance officer immediately of any reports that are not evidently legally and factually irrelevant. In other </w:t>
      </w:r>
      <w:proofErr w:type="gramStart"/>
      <w:r>
        <w:rPr>
          <w:lang w:val="en-GB"/>
        </w:rPr>
        <w:t>cases</w:t>
      </w:r>
      <w:proofErr w:type="gramEnd"/>
      <w:r>
        <w:rPr>
          <w:lang w:val="en-GB"/>
        </w:rPr>
        <w:t xml:space="preserve"> the ombudsman’s office shall include the report in the [</w:t>
      </w:r>
      <w:r>
        <w:rPr>
          <w:b/>
          <w:bCs/>
          <w:lang w:val="en-GB"/>
        </w:rPr>
        <w:t>customisable</w:t>
      </w:r>
      <w:r>
        <w:rPr>
          <w:lang w:val="en-GB"/>
        </w:rPr>
        <w:t>: quarterly report] of reports received.</w:t>
      </w:r>
    </w:p>
    <w:p w14:paraId="0308B53A" w14:textId="77777777" w:rsidR="00B17B21" w:rsidRPr="00DA6666" w:rsidRDefault="00B17B21" w:rsidP="00B17B21">
      <w:pPr>
        <w:rPr>
          <w:lang w:val="en-US"/>
        </w:rPr>
      </w:pPr>
    </w:p>
    <w:p w14:paraId="001D3583" w14:textId="77777777" w:rsidR="00B17B21" w:rsidRPr="00DA6666" w:rsidRDefault="00B17B21" w:rsidP="00B17B21">
      <w:pPr>
        <w:rPr>
          <w:lang w:val="en-US"/>
        </w:rPr>
      </w:pPr>
      <w:r>
        <w:rPr>
          <w:lang w:val="en-GB"/>
        </w:rPr>
        <w:t xml:space="preserve">Where possible the ombudsman’s office shall inform the </w:t>
      </w:r>
      <w:proofErr w:type="spellStart"/>
      <w:r>
        <w:rPr>
          <w:lang w:val="en-GB"/>
        </w:rPr>
        <w:t>whistleblower</w:t>
      </w:r>
      <w:proofErr w:type="spellEnd"/>
      <w:r>
        <w:rPr>
          <w:rStyle w:val="Funotenzeichen"/>
          <w:lang w:val="en-GB"/>
        </w:rPr>
        <w:footnoteReference w:id="3"/>
      </w:r>
      <w:r>
        <w:rPr>
          <w:lang w:val="en-GB"/>
        </w:rPr>
        <w:t xml:space="preserve"> of the status of the investigation within three months of receipt of the report. </w:t>
      </w:r>
    </w:p>
    <w:p w14:paraId="7B9A81FC" w14:textId="77777777" w:rsidR="00B17B21" w:rsidRPr="00DA6666" w:rsidRDefault="00B17B21" w:rsidP="00B17B21">
      <w:pPr>
        <w:rPr>
          <w:lang w:val="en-US"/>
        </w:rPr>
      </w:pPr>
    </w:p>
    <w:p w14:paraId="71799580" w14:textId="77777777" w:rsidR="00B17B21" w:rsidRPr="00DA6666" w:rsidRDefault="00B17B21" w:rsidP="00B17B21">
      <w:pPr>
        <w:rPr>
          <w:lang w:val="en-US"/>
        </w:rPr>
      </w:pPr>
      <w:r>
        <w:rPr>
          <w:b/>
          <w:bCs/>
          <w:lang w:val="en-GB"/>
        </w:rPr>
        <w:t>[Optional:</w:t>
      </w:r>
      <w:r>
        <w:rPr>
          <w:lang w:val="en-GB"/>
        </w:rPr>
        <w:t xml:space="preserve"> The Client shall receive information on a quarterly basis about the reports received.</w:t>
      </w:r>
      <w:r>
        <w:rPr>
          <w:color w:val="000000"/>
          <w:lang w:val="en-GB"/>
        </w:rPr>
        <w:t xml:space="preserve"> This report is restricted to the types and number of reports in the various categories and the result of the validity check and the check for legal relevance.]</w:t>
      </w:r>
    </w:p>
    <w:p w14:paraId="60695459" w14:textId="77777777" w:rsidR="00B17B21" w:rsidRPr="00DA6666" w:rsidRDefault="00B17B21" w:rsidP="00B17B21">
      <w:pPr>
        <w:rPr>
          <w:color w:val="000000"/>
          <w:lang w:val="en-US"/>
        </w:rPr>
      </w:pPr>
    </w:p>
    <w:p w14:paraId="43D5B61F" w14:textId="77777777" w:rsidR="00B17B21" w:rsidRPr="00DA6666" w:rsidRDefault="00B17B21" w:rsidP="00B17B21">
      <w:pPr>
        <w:pStyle w:val="berschrift1"/>
        <w:rPr>
          <w:lang w:val="en-US"/>
        </w:rPr>
      </w:pPr>
      <w:r>
        <w:rPr>
          <w:bCs/>
          <w:lang w:val="en-GB"/>
        </w:rPr>
        <w:t xml:space="preserve">2. Rights of the ombudsman’s office to safeguard the confidentiality of the </w:t>
      </w:r>
      <w:proofErr w:type="spellStart"/>
      <w:r>
        <w:rPr>
          <w:bCs/>
          <w:lang w:val="en-GB"/>
        </w:rPr>
        <w:t>whistleblower</w:t>
      </w:r>
      <w:proofErr w:type="spellEnd"/>
    </w:p>
    <w:p w14:paraId="78B88A4A" w14:textId="77777777" w:rsidR="00B17B21" w:rsidRPr="00DA6666" w:rsidRDefault="00B17B21" w:rsidP="00B17B21">
      <w:pPr>
        <w:rPr>
          <w:color w:val="000000"/>
          <w:lang w:val="en-US"/>
        </w:rPr>
      </w:pPr>
      <w:r>
        <w:rPr>
          <w:color w:val="000000"/>
          <w:lang w:val="en-GB"/>
        </w:rPr>
        <w:t>Where the Client is informed of the reports received and within the context of the [</w:t>
      </w:r>
      <w:r>
        <w:rPr>
          <w:b/>
          <w:bCs/>
          <w:color w:val="000000"/>
          <w:lang w:val="en-GB"/>
        </w:rPr>
        <w:t>customisable</w:t>
      </w:r>
      <w:r>
        <w:rPr>
          <w:color w:val="000000"/>
          <w:lang w:val="en-GB"/>
        </w:rPr>
        <w:t xml:space="preserve">: quarterly report], the ombudsman’s office provides information to the Client about the identity of the </w:t>
      </w:r>
      <w:proofErr w:type="spellStart"/>
      <w:r>
        <w:rPr>
          <w:color w:val="000000"/>
          <w:lang w:val="en-GB"/>
        </w:rPr>
        <w:t>whistleblower</w:t>
      </w:r>
      <w:proofErr w:type="spellEnd"/>
      <w:r>
        <w:rPr>
          <w:color w:val="000000"/>
          <w:lang w:val="en-GB"/>
        </w:rPr>
        <w:t xml:space="preserve">, provided that the </w:t>
      </w:r>
      <w:proofErr w:type="spellStart"/>
      <w:r>
        <w:rPr>
          <w:color w:val="000000"/>
          <w:lang w:val="en-GB"/>
        </w:rPr>
        <w:t>whistleblower</w:t>
      </w:r>
      <w:proofErr w:type="spellEnd"/>
      <w:r>
        <w:rPr>
          <w:color w:val="000000"/>
          <w:lang w:val="en-GB"/>
        </w:rPr>
        <w:t xml:space="preserve"> has granted his consent to the ombudsman’s office to do so. </w:t>
      </w:r>
    </w:p>
    <w:p w14:paraId="5A9E4094" w14:textId="77777777" w:rsidR="00B17B21" w:rsidRPr="00DA6666" w:rsidRDefault="00B17B21" w:rsidP="00B17B21">
      <w:pPr>
        <w:rPr>
          <w:color w:val="000000"/>
          <w:lang w:val="en-US"/>
        </w:rPr>
      </w:pPr>
    </w:p>
    <w:p w14:paraId="042045CF" w14:textId="77777777" w:rsidR="00B17B21" w:rsidRPr="00DA6666" w:rsidRDefault="00B17B21" w:rsidP="00B17B21">
      <w:pPr>
        <w:rPr>
          <w:color w:val="000000"/>
          <w:lang w:val="en-US"/>
        </w:rPr>
      </w:pPr>
      <w:r>
        <w:rPr>
          <w:color w:val="000000"/>
          <w:lang w:val="en-GB"/>
        </w:rPr>
        <w:t xml:space="preserve">If the report was submitted in confidence, the ombudsman’s office is obliged in respect of the </w:t>
      </w:r>
      <w:proofErr w:type="spellStart"/>
      <w:r>
        <w:rPr>
          <w:color w:val="000000"/>
          <w:lang w:val="en-GB"/>
        </w:rPr>
        <w:t>whistleblower</w:t>
      </w:r>
      <w:proofErr w:type="spellEnd"/>
      <w:r>
        <w:rPr>
          <w:color w:val="000000"/>
          <w:lang w:val="en-GB"/>
        </w:rPr>
        <w:t xml:space="preserve"> to safeguard that confidence also in respect of the Client, unless one of the exceptional cases set out in section 3.3 of the </w:t>
      </w:r>
      <w:proofErr w:type="spellStart"/>
      <w:r>
        <w:rPr>
          <w:color w:val="000000"/>
          <w:lang w:val="en-GB"/>
        </w:rPr>
        <w:t>whistleblower</w:t>
      </w:r>
      <w:proofErr w:type="spellEnd"/>
      <w:r>
        <w:rPr>
          <w:color w:val="000000"/>
          <w:lang w:val="en-GB"/>
        </w:rPr>
        <w:t xml:space="preserve"> policy applies. </w:t>
      </w:r>
    </w:p>
    <w:p w14:paraId="6522DA15" w14:textId="77777777" w:rsidR="00B17B21" w:rsidRPr="00DA6666" w:rsidRDefault="00B17B21" w:rsidP="00B17B21">
      <w:pPr>
        <w:rPr>
          <w:color w:val="000000"/>
          <w:lang w:val="en-US"/>
        </w:rPr>
      </w:pPr>
    </w:p>
    <w:p w14:paraId="05154733" w14:textId="77777777" w:rsidR="00B17B21" w:rsidRPr="00DA6666" w:rsidRDefault="00B17B21" w:rsidP="00B17B21">
      <w:pPr>
        <w:rPr>
          <w:color w:val="000000"/>
          <w:lang w:val="en-US"/>
        </w:rPr>
      </w:pPr>
      <w:r>
        <w:rPr>
          <w:color w:val="000000"/>
          <w:lang w:val="en-GB"/>
        </w:rPr>
        <w:t xml:space="preserve">In the case of reports submitted in confidence, the ombudsman’s office has the right to safeguard the confidentiality of the report in respect of the Client. The ombudsman’s office has the right to refuse to disclose documentation submitted to it in confidence to the Client. The rights of the ombudsman’s office stated above shall continue to apply beyond the ending of this contract. </w:t>
      </w:r>
    </w:p>
    <w:p w14:paraId="1C5934C3" w14:textId="77777777" w:rsidR="00B17B21" w:rsidRPr="00DA6666" w:rsidRDefault="00B17B21" w:rsidP="00B17B21">
      <w:pPr>
        <w:rPr>
          <w:color w:val="000000"/>
          <w:lang w:val="en-US"/>
        </w:rPr>
      </w:pPr>
    </w:p>
    <w:p w14:paraId="2549F063" w14:textId="77777777" w:rsidR="00B17B21" w:rsidRPr="00DA6666" w:rsidRDefault="00B17B21" w:rsidP="00B17B21">
      <w:pPr>
        <w:rPr>
          <w:color w:val="000000"/>
          <w:lang w:val="en-US"/>
        </w:rPr>
      </w:pPr>
      <w:r>
        <w:rPr>
          <w:color w:val="000000"/>
          <w:lang w:val="en-GB"/>
        </w:rPr>
        <w:t>[</w:t>
      </w:r>
      <w:r>
        <w:rPr>
          <w:b/>
          <w:bCs/>
          <w:color w:val="000000"/>
          <w:lang w:val="en-GB"/>
        </w:rPr>
        <w:t>If the ombudsman’s office is managed by a person with a duty of professional secrecy</w:t>
      </w:r>
      <w:r>
        <w:rPr>
          <w:color w:val="000000"/>
          <w:lang w:val="en-GB"/>
        </w:rPr>
        <w:t>: In the case of reports submitted confidentially, the Client is not entitled to release the employees of the ombudsman’s office and their support staff who are sworn to secrecy for professional reasons from their obligation to maintain secrecy.]</w:t>
      </w:r>
    </w:p>
    <w:p w14:paraId="2097CDC0" w14:textId="77777777" w:rsidR="00B17B21" w:rsidRPr="00DA6666" w:rsidRDefault="00B17B21" w:rsidP="00B17B21">
      <w:pPr>
        <w:rPr>
          <w:lang w:val="en-US"/>
        </w:rPr>
      </w:pPr>
    </w:p>
    <w:p w14:paraId="7ABCF2AC" w14:textId="77777777" w:rsidR="00B17B21" w:rsidRPr="00DA6666" w:rsidRDefault="00B17B21" w:rsidP="00B17B21">
      <w:pPr>
        <w:pStyle w:val="berschrift1"/>
        <w:rPr>
          <w:rFonts w:cs="Arial"/>
          <w:szCs w:val="22"/>
          <w:lang w:val="en-US"/>
        </w:rPr>
      </w:pPr>
      <w:r>
        <w:rPr>
          <w:rFonts w:cs="Arial"/>
          <w:bCs/>
          <w:szCs w:val="22"/>
          <w:lang w:val="en-GB"/>
        </w:rPr>
        <w:lastRenderedPageBreak/>
        <w:t>[Optional: 2. Remuneration]</w:t>
      </w:r>
    </w:p>
    <w:p w14:paraId="3DB6ABF7" w14:textId="77777777" w:rsidR="00B17B21" w:rsidRPr="00DA6666" w:rsidRDefault="00B17B21" w:rsidP="00B17B21">
      <w:pPr>
        <w:rPr>
          <w:color w:val="000000"/>
          <w:lang w:val="en-US"/>
        </w:rPr>
      </w:pPr>
    </w:p>
    <w:p w14:paraId="23F009C2" w14:textId="77777777" w:rsidR="00B17B21" w:rsidRPr="00DA6666" w:rsidRDefault="00B17B21" w:rsidP="00B17B21">
      <w:pPr>
        <w:pStyle w:val="berschrift1"/>
        <w:rPr>
          <w:rFonts w:cs="Arial"/>
          <w:szCs w:val="22"/>
          <w:lang w:val="en-US"/>
        </w:rPr>
      </w:pPr>
      <w:r>
        <w:rPr>
          <w:rFonts w:cs="Arial"/>
          <w:bCs/>
          <w:szCs w:val="22"/>
          <w:lang w:val="en-GB"/>
        </w:rPr>
        <w:t>[Optional: 3. Limitation of liability</w:t>
      </w:r>
    </w:p>
    <w:p w14:paraId="4AB327F3" w14:textId="77777777" w:rsidR="00B17B21" w:rsidRPr="00DA6666" w:rsidRDefault="00B17B21" w:rsidP="00B17B21">
      <w:pPr>
        <w:rPr>
          <w:color w:val="000000"/>
          <w:lang w:val="en-US"/>
        </w:rPr>
      </w:pPr>
      <w:r>
        <w:rPr>
          <w:color w:val="000000"/>
          <w:lang w:val="en-GB"/>
        </w:rPr>
        <w:t xml:space="preserve">A separate </w:t>
      </w:r>
      <w:r>
        <w:rPr>
          <w:lang w:val="en-GB"/>
        </w:rPr>
        <w:t>limitation of liability agreement applies to the performance of the subject matter of the contract stipulated under section 1. This limitation of liability forms a part of the current report management contract.]</w:t>
      </w:r>
    </w:p>
    <w:p w14:paraId="56107243" w14:textId="77777777" w:rsidR="00B17B21" w:rsidRPr="00DA6666" w:rsidRDefault="00B17B21" w:rsidP="00B17B21">
      <w:pPr>
        <w:rPr>
          <w:color w:val="000000"/>
          <w:lang w:val="en-US"/>
        </w:rPr>
      </w:pPr>
    </w:p>
    <w:p w14:paraId="4FFC5E23" w14:textId="77777777" w:rsidR="00B17B21" w:rsidRPr="00DA6666" w:rsidRDefault="00B17B21" w:rsidP="00B17B21">
      <w:pPr>
        <w:pStyle w:val="berschrift1"/>
        <w:rPr>
          <w:rFonts w:cs="Arial"/>
          <w:szCs w:val="22"/>
          <w:lang w:val="en-US"/>
        </w:rPr>
      </w:pPr>
      <w:r>
        <w:rPr>
          <w:rFonts w:cs="Arial"/>
          <w:bCs/>
          <w:szCs w:val="22"/>
          <w:lang w:val="en-GB"/>
        </w:rPr>
        <w:t>4. Data processing</w:t>
      </w:r>
    </w:p>
    <w:p w14:paraId="1FB450D7" w14:textId="77777777" w:rsidR="00B17B21" w:rsidRPr="00DA6666" w:rsidRDefault="00B17B21" w:rsidP="00B17B21">
      <w:pPr>
        <w:rPr>
          <w:lang w:val="en-US"/>
        </w:rPr>
      </w:pPr>
      <w:r>
        <w:rPr>
          <w:lang w:val="en-GB"/>
        </w:rPr>
        <w:t>Personal data is processed by the ombudsman’s office to enable it to perform the services stated in section 1.2. The ombudsman’s office undertakes to comply with statutory provisions in the processing of personal data.</w:t>
      </w:r>
    </w:p>
    <w:p w14:paraId="638DFFB3" w14:textId="77777777" w:rsidR="00B17B21" w:rsidRPr="00DA6666" w:rsidRDefault="00B17B21" w:rsidP="00B17B21">
      <w:pPr>
        <w:rPr>
          <w:color w:val="000000"/>
          <w:lang w:val="en-US"/>
        </w:rPr>
      </w:pPr>
    </w:p>
    <w:p w14:paraId="59976DB0" w14:textId="77777777" w:rsidR="00B17B21" w:rsidRPr="00DA6666" w:rsidRDefault="00B17B21" w:rsidP="00B17B21">
      <w:pPr>
        <w:pStyle w:val="berschrift1"/>
        <w:rPr>
          <w:rFonts w:cs="Arial"/>
          <w:szCs w:val="22"/>
          <w:lang w:val="en-US"/>
        </w:rPr>
      </w:pPr>
      <w:r>
        <w:rPr>
          <w:rFonts w:cs="Arial"/>
          <w:bCs/>
          <w:szCs w:val="22"/>
          <w:lang w:val="en-GB"/>
        </w:rPr>
        <w:t>5. Contract period</w:t>
      </w:r>
    </w:p>
    <w:p w14:paraId="2157D5DA" w14:textId="77777777" w:rsidR="00B17B21" w:rsidRPr="00DA6666" w:rsidRDefault="00B17B21" w:rsidP="00B17B21">
      <w:pPr>
        <w:rPr>
          <w:color w:val="000000"/>
          <w:lang w:val="en-US"/>
        </w:rPr>
      </w:pPr>
      <w:r>
        <w:rPr>
          <w:color w:val="000000"/>
          <w:lang w:val="en-GB"/>
        </w:rPr>
        <w:t xml:space="preserve">This contract is concluded for an indefinite period. </w:t>
      </w:r>
    </w:p>
    <w:p w14:paraId="41B3C8AA" w14:textId="77777777" w:rsidR="00B17B21" w:rsidRPr="00DA6666" w:rsidRDefault="00B17B21" w:rsidP="00B17B21">
      <w:pPr>
        <w:rPr>
          <w:color w:val="000000"/>
          <w:lang w:val="en-US"/>
        </w:rPr>
      </w:pPr>
    </w:p>
    <w:p w14:paraId="2925EBA4" w14:textId="77777777" w:rsidR="00B17B21" w:rsidRPr="00DA6666" w:rsidRDefault="00B17B21" w:rsidP="00B17B21">
      <w:pPr>
        <w:pStyle w:val="berschrift1"/>
        <w:rPr>
          <w:rFonts w:cs="Arial"/>
          <w:szCs w:val="22"/>
          <w:lang w:val="en-US"/>
        </w:rPr>
      </w:pPr>
      <w:r>
        <w:rPr>
          <w:rFonts w:cs="Arial"/>
          <w:bCs/>
          <w:szCs w:val="22"/>
          <w:lang w:val="en-GB"/>
        </w:rPr>
        <w:t>6. Termination</w:t>
      </w:r>
      <w:r>
        <w:rPr>
          <w:rStyle w:val="Funotenzeichen"/>
          <w:rFonts w:cs="Arial"/>
          <w:bCs/>
          <w:szCs w:val="22"/>
          <w:lang w:val="en-GB"/>
        </w:rPr>
        <w:footnoteReference w:id="4"/>
      </w:r>
    </w:p>
    <w:p w14:paraId="2ECDA9CD" w14:textId="77777777" w:rsidR="00B17B21" w:rsidRPr="00DA6666" w:rsidRDefault="00B17B21" w:rsidP="00B17B21">
      <w:pPr>
        <w:rPr>
          <w:lang w:val="en-US"/>
        </w:rPr>
      </w:pPr>
      <w:r>
        <w:rPr>
          <w:lang w:val="en-GB"/>
        </w:rPr>
        <w:t xml:space="preserve">This contract can be terminated by either party with a notice period of </w:t>
      </w:r>
      <w:r>
        <w:rPr>
          <w:b/>
          <w:bCs/>
          <w:lang w:val="en-GB"/>
        </w:rPr>
        <w:t>xxx</w:t>
      </w:r>
      <w:r>
        <w:rPr>
          <w:lang w:val="en-GB"/>
        </w:rPr>
        <w:t xml:space="preserve"> to the month’s end. The right to extraordinary termination for good cause remains unaffected.</w:t>
      </w:r>
    </w:p>
    <w:p w14:paraId="22F7F24B" w14:textId="77777777" w:rsidR="00B17B21" w:rsidRPr="00DA6666" w:rsidRDefault="00B17B21" w:rsidP="00B17B21">
      <w:pPr>
        <w:rPr>
          <w:lang w:val="en-US"/>
        </w:rPr>
      </w:pPr>
    </w:p>
    <w:p w14:paraId="1D16F267" w14:textId="77777777" w:rsidR="00B17B21" w:rsidRPr="00DA6666" w:rsidRDefault="00B17B21" w:rsidP="00B17B21">
      <w:pPr>
        <w:pStyle w:val="berschrift1"/>
        <w:ind w:left="567" w:hanging="567"/>
        <w:rPr>
          <w:rFonts w:cs="Arial"/>
          <w:szCs w:val="22"/>
          <w:lang w:val="en-US"/>
        </w:rPr>
      </w:pPr>
      <w:r>
        <w:rPr>
          <w:rFonts w:cs="Arial"/>
          <w:bCs/>
          <w:szCs w:val="22"/>
          <w:lang w:val="en-GB"/>
        </w:rPr>
        <w:t>7. Final provisions</w:t>
      </w:r>
      <w:r>
        <w:rPr>
          <w:rStyle w:val="Funotenzeichen"/>
          <w:rFonts w:cs="Arial"/>
          <w:bCs/>
          <w:szCs w:val="22"/>
          <w:lang w:val="en-GB"/>
        </w:rPr>
        <w:footnoteReference w:id="5"/>
      </w:r>
    </w:p>
    <w:p w14:paraId="145E1404" w14:textId="77777777" w:rsidR="00B17B21" w:rsidRPr="00DA6666" w:rsidRDefault="00B17B21" w:rsidP="00B17B21">
      <w:pPr>
        <w:rPr>
          <w:lang w:val="en-US"/>
        </w:rPr>
      </w:pPr>
    </w:p>
    <w:p w14:paraId="78329293" w14:textId="77777777" w:rsidR="00B17B21" w:rsidRPr="00DA6666" w:rsidRDefault="00B17B21" w:rsidP="00B17B21">
      <w:pPr>
        <w:rPr>
          <w:lang w:val="en-US"/>
        </w:rPr>
      </w:pPr>
    </w:p>
    <w:p w14:paraId="472E094A" w14:textId="77777777" w:rsidR="00B17B21" w:rsidRPr="00DA6666" w:rsidRDefault="00B17B21" w:rsidP="00B17B21">
      <w:pPr>
        <w:rPr>
          <w:rFonts w:eastAsia="Times New Roman"/>
          <w:noProof/>
          <w:color w:val="000000"/>
          <w:lang w:val="en-US"/>
        </w:rPr>
      </w:pPr>
    </w:p>
    <w:p w14:paraId="4C272756" w14:textId="77777777" w:rsidR="00B17B21" w:rsidRPr="00DA6666" w:rsidRDefault="00B17B21" w:rsidP="00B17B21">
      <w:pPr>
        <w:rPr>
          <w:lang w:val="en-US"/>
        </w:rPr>
      </w:pPr>
    </w:p>
    <w:p w14:paraId="151CE4B6" w14:textId="77777777" w:rsidR="00B17B21" w:rsidRPr="00DA6666" w:rsidRDefault="00B17B21" w:rsidP="00B17B21">
      <w:pPr>
        <w:tabs>
          <w:tab w:val="left" w:pos="4820"/>
        </w:tabs>
        <w:rPr>
          <w:lang w:val="en-US"/>
        </w:rPr>
      </w:pPr>
      <w:r>
        <w:rPr>
          <w:lang w:val="en-GB"/>
        </w:rPr>
        <w:t>___________________________________</w:t>
      </w:r>
      <w:r>
        <w:rPr>
          <w:lang w:val="en-GB"/>
        </w:rPr>
        <w:tab/>
        <w:t>__________________________________</w:t>
      </w:r>
    </w:p>
    <w:p w14:paraId="107EE520" w14:textId="77777777" w:rsidR="00B17B21" w:rsidRPr="00DA6666" w:rsidRDefault="00B17B21" w:rsidP="00B17B21">
      <w:pPr>
        <w:tabs>
          <w:tab w:val="left" w:pos="4820"/>
        </w:tabs>
        <w:rPr>
          <w:b/>
          <w:color w:val="000000"/>
          <w:lang w:val="en-US"/>
        </w:rPr>
      </w:pPr>
      <w:r>
        <w:rPr>
          <w:lang w:val="en-GB"/>
        </w:rPr>
        <w:t>(Place/Date)</w:t>
      </w:r>
      <w:r>
        <w:rPr>
          <w:lang w:val="en-GB"/>
        </w:rPr>
        <w:tab/>
      </w:r>
      <w:r>
        <w:rPr>
          <w:color w:val="000000"/>
          <w:lang w:val="en-GB"/>
        </w:rPr>
        <w:t>Name</w:t>
      </w:r>
    </w:p>
    <w:p w14:paraId="6F28A948" w14:textId="77777777" w:rsidR="00B17B21" w:rsidRPr="00DA6666" w:rsidRDefault="00B17B21" w:rsidP="00B17B21">
      <w:pPr>
        <w:tabs>
          <w:tab w:val="left" w:pos="4820"/>
        </w:tabs>
        <w:rPr>
          <w:lang w:val="en-US"/>
        </w:rPr>
      </w:pPr>
      <w:r>
        <w:rPr>
          <w:lang w:val="en-GB"/>
        </w:rPr>
        <w:tab/>
        <w:t>(Reporting office/Contractor)</w:t>
      </w:r>
    </w:p>
    <w:p w14:paraId="05F312E4" w14:textId="77777777" w:rsidR="00B17B21" w:rsidRPr="00DA6666" w:rsidRDefault="00B17B21" w:rsidP="00B17B21">
      <w:pPr>
        <w:rPr>
          <w:color w:val="000000"/>
          <w:lang w:val="en-US"/>
        </w:rPr>
      </w:pPr>
    </w:p>
    <w:p w14:paraId="59285F50" w14:textId="77777777" w:rsidR="00B17B21" w:rsidRPr="00DA6666" w:rsidRDefault="00B17B21" w:rsidP="00B17B21">
      <w:pPr>
        <w:rPr>
          <w:color w:val="000000"/>
          <w:lang w:val="en-US"/>
        </w:rPr>
      </w:pPr>
    </w:p>
    <w:p w14:paraId="7CDD5986" w14:textId="77777777" w:rsidR="00B17B21" w:rsidRPr="00DA6666" w:rsidRDefault="00B17B21" w:rsidP="00B17B21">
      <w:pPr>
        <w:rPr>
          <w:color w:val="000000"/>
          <w:lang w:val="en-US"/>
        </w:rPr>
      </w:pPr>
    </w:p>
    <w:p w14:paraId="52C0653C" w14:textId="77777777" w:rsidR="00B17B21" w:rsidRPr="00DA6666" w:rsidRDefault="00B17B21" w:rsidP="00B17B21">
      <w:pPr>
        <w:rPr>
          <w:lang w:val="en-US"/>
        </w:rPr>
      </w:pPr>
    </w:p>
    <w:p w14:paraId="39F89CDE" w14:textId="77777777" w:rsidR="00B17B21" w:rsidRPr="00DA6666" w:rsidRDefault="00B17B21" w:rsidP="00B17B21">
      <w:pPr>
        <w:tabs>
          <w:tab w:val="left" w:pos="4820"/>
        </w:tabs>
        <w:rPr>
          <w:lang w:val="en-US"/>
        </w:rPr>
      </w:pPr>
      <w:r>
        <w:rPr>
          <w:lang w:val="en-GB"/>
        </w:rPr>
        <w:t>___________________________________</w:t>
      </w:r>
      <w:r>
        <w:rPr>
          <w:lang w:val="en-GB"/>
        </w:rPr>
        <w:tab/>
        <w:t>__________________________________</w:t>
      </w:r>
    </w:p>
    <w:p w14:paraId="11A6C3F9" w14:textId="77777777" w:rsidR="00B17B21" w:rsidRPr="00DA6666" w:rsidRDefault="00B17B21" w:rsidP="00B17B21">
      <w:pPr>
        <w:tabs>
          <w:tab w:val="left" w:pos="4820"/>
        </w:tabs>
        <w:rPr>
          <w:lang w:val="en-US"/>
        </w:rPr>
      </w:pPr>
      <w:r>
        <w:rPr>
          <w:lang w:val="en-GB"/>
        </w:rPr>
        <w:t>(Place/Date)</w:t>
      </w:r>
      <w:r>
        <w:rPr>
          <w:lang w:val="en-GB"/>
        </w:rPr>
        <w:tab/>
      </w:r>
      <w:r>
        <w:rPr>
          <w:color w:val="000000"/>
          <w:lang w:val="en-GB"/>
        </w:rPr>
        <w:t>Company</w:t>
      </w:r>
    </w:p>
    <w:p w14:paraId="660EAAF0" w14:textId="45B8DA55" w:rsidR="00C436A2" w:rsidRDefault="00B17B21" w:rsidP="009C1470">
      <w:pPr>
        <w:tabs>
          <w:tab w:val="left" w:pos="4820"/>
        </w:tabs>
      </w:pPr>
      <w:r>
        <w:rPr>
          <w:lang w:val="en-GB"/>
        </w:rPr>
        <w:tab/>
        <w:t>(</w:t>
      </w:r>
      <w:proofErr w:type="gramStart"/>
      <w:r>
        <w:rPr>
          <w:lang w:val="en-GB"/>
        </w:rPr>
        <w:t>for</w:t>
      </w:r>
      <w:proofErr w:type="gramEnd"/>
      <w:r>
        <w:rPr>
          <w:lang w:val="en-GB"/>
        </w:rPr>
        <w:t xml:space="preserve"> the Client)</w:t>
      </w:r>
    </w:p>
    <w:sectPr w:rsidR="00C436A2" w:rsidSect="000D38D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83A2" w14:textId="77777777" w:rsidR="004202E5" w:rsidRDefault="004202E5" w:rsidP="00B17B21">
      <w:r>
        <w:separator/>
      </w:r>
    </w:p>
  </w:endnote>
  <w:endnote w:type="continuationSeparator" w:id="0">
    <w:p w14:paraId="1F2325F8" w14:textId="77777777" w:rsidR="004202E5" w:rsidRDefault="004202E5" w:rsidP="00B1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gny Offc">
    <w:altName w:val="﷽﷽﷽﷽﷽﷽﷽﷽Ⴤ뱡ᇢ"/>
    <w:panose1 w:val="020B0504020101010102"/>
    <w:charset w:val="4D"/>
    <w:family w:val="swiss"/>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02C0" w14:textId="77777777" w:rsidR="004202E5" w:rsidRDefault="004202E5" w:rsidP="00B17B21">
      <w:r>
        <w:separator/>
      </w:r>
    </w:p>
  </w:footnote>
  <w:footnote w:type="continuationSeparator" w:id="0">
    <w:p w14:paraId="6F42FDAE" w14:textId="77777777" w:rsidR="004202E5" w:rsidRDefault="004202E5" w:rsidP="00B17B21">
      <w:r>
        <w:continuationSeparator/>
      </w:r>
    </w:p>
  </w:footnote>
  <w:footnote w:id="1">
    <w:p w14:paraId="74AE79DD" w14:textId="77777777" w:rsidR="00B17B21" w:rsidRPr="00DA6666" w:rsidRDefault="00B17B21" w:rsidP="00B17B21">
      <w:pPr>
        <w:pStyle w:val="Funotentext"/>
        <w:rPr>
          <w:lang w:val="en-US"/>
        </w:rPr>
      </w:pPr>
      <w:r>
        <w:rPr>
          <w:rStyle w:val="Funotenzeichen"/>
          <w:lang w:val="en-GB"/>
        </w:rPr>
        <w:footnoteRef/>
      </w:r>
      <w:r>
        <w:rPr>
          <w:lang w:val="en-GB"/>
        </w:rPr>
        <w:t xml:space="preserve"> At present (01.12.2022) only the draft of </w:t>
      </w:r>
      <w:proofErr w:type="spellStart"/>
      <w:r>
        <w:rPr>
          <w:lang w:val="en-GB"/>
        </w:rPr>
        <w:t>HinSchG</w:t>
      </w:r>
      <w:proofErr w:type="spellEnd"/>
      <w:r>
        <w:rPr>
          <w:lang w:val="en-GB"/>
        </w:rPr>
        <w:t>-E (draft law of the Federal Government of 22.07.2022) exists.</w:t>
      </w:r>
    </w:p>
  </w:footnote>
  <w:footnote w:id="2">
    <w:p w14:paraId="64861103" w14:textId="77777777" w:rsidR="00B17B21" w:rsidRPr="00DA6666" w:rsidRDefault="00B17B21" w:rsidP="00B17B21">
      <w:pPr>
        <w:pStyle w:val="Funotentext"/>
        <w:rPr>
          <w:lang w:val="en-US"/>
        </w:rPr>
      </w:pPr>
      <w:r>
        <w:rPr>
          <w:rStyle w:val="Funotenzeichen"/>
          <w:lang w:val="en-GB"/>
        </w:rPr>
        <w:footnoteRef/>
      </w:r>
      <w:r>
        <w:rPr>
          <w:lang w:val="en-GB"/>
        </w:rPr>
        <w:t xml:space="preserve"> Must comply with the requirements set out in the adoption of the policy. Any other person in the company can be nominated here (</w:t>
      </w:r>
      <w:proofErr w:type="gramStart"/>
      <w:r>
        <w:rPr>
          <w:lang w:val="en-GB"/>
        </w:rPr>
        <w:t>e.g.</w:t>
      </w:r>
      <w:proofErr w:type="gramEnd"/>
      <w:r>
        <w:rPr>
          <w:lang w:val="en-GB"/>
        </w:rPr>
        <w:t xml:space="preserve"> management, head of legal services etc.) who is professionally capable of taking subsequent decisions.</w:t>
      </w:r>
    </w:p>
  </w:footnote>
  <w:footnote w:id="3">
    <w:p w14:paraId="06479881" w14:textId="77777777" w:rsidR="00B17B21" w:rsidRPr="00DA6666" w:rsidRDefault="00B17B21" w:rsidP="00B17B21">
      <w:pPr>
        <w:pStyle w:val="Funotentext"/>
        <w:rPr>
          <w:lang w:val="en-US"/>
        </w:rPr>
      </w:pPr>
      <w:r>
        <w:rPr>
          <w:rStyle w:val="Funotenzeichen"/>
          <w:lang w:val="en-GB"/>
        </w:rPr>
        <w:footnoteRef/>
      </w:r>
      <w:r>
        <w:rPr>
          <w:lang w:val="en-GB"/>
        </w:rPr>
        <w:t xml:space="preserve"> Restrictions will arise where no digital system has been set up and the report has been submitted anonymously.</w:t>
      </w:r>
    </w:p>
  </w:footnote>
  <w:footnote w:id="4">
    <w:p w14:paraId="03B23C5F" w14:textId="77777777" w:rsidR="00B17B21" w:rsidRPr="00DA6666" w:rsidRDefault="00B17B21" w:rsidP="00B17B21">
      <w:pPr>
        <w:pStyle w:val="Funotentext"/>
        <w:rPr>
          <w:lang w:val="en-US"/>
        </w:rPr>
      </w:pPr>
      <w:r>
        <w:rPr>
          <w:rStyle w:val="Funotenzeichen"/>
          <w:lang w:val="en-GB"/>
        </w:rPr>
        <w:footnoteRef/>
      </w:r>
      <w:r>
        <w:rPr>
          <w:lang w:val="en-GB"/>
        </w:rPr>
        <w:t xml:space="preserve"> Requires modification if the internal office is managed by a company employee.</w:t>
      </w:r>
    </w:p>
  </w:footnote>
  <w:footnote w:id="5">
    <w:p w14:paraId="67C2C221" w14:textId="77777777" w:rsidR="00B17B21" w:rsidRPr="00DA6666" w:rsidRDefault="00B17B21" w:rsidP="00B17B21">
      <w:pPr>
        <w:pStyle w:val="Funotentext"/>
        <w:rPr>
          <w:lang w:val="en-US"/>
        </w:rPr>
      </w:pPr>
      <w:r>
        <w:rPr>
          <w:rStyle w:val="Funotenzeichen"/>
          <w:lang w:val="en-GB"/>
        </w:rPr>
        <w:footnoteRef/>
      </w:r>
      <w:r>
        <w:rPr>
          <w:lang w:val="en-GB"/>
        </w:rPr>
        <w:t xml:space="preserve"> For the commissioning of an ombudsman’s office, a severability clause can be inserted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1097D"/>
    <w:multiLevelType w:val="hybridMultilevel"/>
    <w:tmpl w:val="F5A66E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948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21"/>
    <w:rsid w:val="000D38DB"/>
    <w:rsid w:val="001A7630"/>
    <w:rsid w:val="002A0527"/>
    <w:rsid w:val="004202E5"/>
    <w:rsid w:val="007957A1"/>
    <w:rsid w:val="009C1470"/>
    <w:rsid w:val="00B17B21"/>
    <w:rsid w:val="00C436A2"/>
    <w:rsid w:val="00F02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EEA186"/>
  <w15:chartTrackingRefBased/>
  <w15:docId w15:val="{9DA11BFF-2683-6B4F-BC75-6869DA60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B21"/>
    <w:pPr>
      <w:jc w:val="both"/>
    </w:pPr>
    <w:rPr>
      <w:rFonts w:ascii="Arial" w:hAnsi="Arial" w:cs="Arial"/>
      <w:sz w:val="22"/>
      <w:szCs w:val="22"/>
    </w:rPr>
  </w:style>
  <w:style w:type="paragraph" w:styleId="berschrift1">
    <w:name w:val="heading 1"/>
    <w:basedOn w:val="Standard"/>
    <w:next w:val="Standard"/>
    <w:link w:val="berschrift1Zchn"/>
    <w:uiPriority w:val="9"/>
    <w:qFormat/>
    <w:rsid w:val="00B17B21"/>
    <w:pPr>
      <w:keepNext/>
      <w:keepLines/>
      <w:spacing w:before="120" w:after="120"/>
      <w:outlineLvl w:val="0"/>
    </w:pPr>
    <w:rPr>
      <w:rFonts w:eastAsiaTheme="majorEastAsia" w:cstheme="majorBidi"/>
      <w:b/>
      <w:szCs w:val="32"/>
    </w:rPr>
  </w:style>
  <w:style w:type="paragraph" w:styleId="berschrift2">
    <w:name w:val="heading 2"/>
    <w:basedOn w:val="Standard"/>
    <w:next w:val="Standard"/>
    <w:link w:val="berschrift2Zchn"/>
    <w:uiPriority w:val="9"/>
    <w:qFormat/>
    <w:rsid w:val="00F02F67"/>
    <w:pPr>
      <w:keepNext/>
      <w:keepLines/>
      <w:spacing w:before="120" w:after="120"/>
      <w:outlineLvl w:val="1"/>
    </w:pPr>
    <w:rPr>
      <w:rFonts w:ascii="Dagny Offc" w:eastAsiaTheme="majorEastAsia" w:hAnsi="Dagny Offc" w:cstheme="majorBidi"/>
      <w:b/>
      <w:color w:val="000000" w:themeColor="text1"/>
      <w:szCs w:val="26"/>
      <w:lang w:eastAsia="de-DE"/>
    </w:rPr>
  </w:style>
  <w:style w:type="paragraph" w:styleId="berschrift3">
    <w:name w:val="heading 3"/>
    <w:basedOn w:val="Standard"/>
    <w:next w:val="Standard"/>
    <w:link w:val="berschrift3Zchn"/>
    <w:qFormat/>
    <w:rsid w:val="00F02F67"/>
    <w:pPr>
      <w:keepNext/>
      <w:keepLines/>
      <w:spacing w:before="120" w:after="120"/>
      <w:outlineLvl w:val="2"/>
    </w:pPr>
    <w:rPr>
      <w:rFonts w:ascii="Dagny Offc" w:eastAsiaTheme="majorEastAsia" w:hAnsi="Dagny Offc" w:cstheme="majorBidi"/>
      <w:b/>
      <w:color w:val="000000" w:themeColor="text1"/>
      <w:lang w:eastAsia="de-DE"/>
    </w:rPr>
  </w:style>
  <w:style w:type="paragraph" w:styleId="berschrift4">
    <w:name w:val="heading 4"/>
    <w:basedOn w:val="Standard"/>
    <w:next w:val="Standard"/>
    <w:link w:val="berschrift4Zchn"/>
    <w:qFormat/>
    <w:rsid w:val="00F02F67"/>
    <w:pPr>
      <w:keepNext/>
      <w:keepLines/>
      <w:spacing w:before="120" w:after="120"/>
      <w:outlineLvl w:val="3"/>
    </w:pPr>
    <w:rPr>
      <w:rFonts w:ascii="Dagny Offc" w:eastAsiaTheme="majorEastAsia" w:hAnsi="Dagny Offc" w:cstheme="majorBidi"/>
      <w:b/>
      <w:iCs/>
      <w:color w:val="000000" w:themeColor="text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2"/>
    <w:qFormat/>
    <w:rsid w:val="00F02F67"/>
    <w:rPr>
      <w:b w:val="0"/>
    </w:rPr>
  </w:style>
  <w:style w:type="character" w:customStyle="1" w:styleId="berschrift2Zchn">
    <w:name w:val="Überschrift 2 Zchn"/>
    <w:basedOn w:val="Absatz-Standardschriftart"/>
    <w:link w:val="berschrift2"/>
    <w:uiPriority w:val="9"/>
    <w:rsid w:val="00F02F67"/>
    <w:rPr>
      <w:rFonts w:ascii="Dagny Offc" w:eastAsiaTheme="majorEastAsia" w:hAnsi="Dagny Offc" w:cstheme="majorBidi"/>
      <w:b/>
      <w:color w:val="000000" w:themeColor="text1"/>
      <w:szCs w:val="26"/>
      <w:lang w:eastAsia="de-DE"/>
    </w:rPr>
  </w:style>
  <w:style w:type="character" w:customStyle="1" w:styleId="berschrift3Zchn">
    <w:name w:val="Überschrift 3 Zchn"/>
    <w:basedOn w:val="Absatz-Standardschriftart"/>
    <w:link w:val="berschrift3"/>
    <w:rsid w:val="00F02F67"/>
    <w:rPr>
      <w:rFonts w:ascii="Dagny Offc" w:eastAsiaTheme="majorEastAsia" w:hAnsi="Dagny Offc" w:cstheme="majorBidi"/>
      <w:b/>
      <w:color w:val="000000" w:themeColor="text1"/>
      <w:lang w:eastAsia="de-DE"/>
    </w:rPr>
  </w:style>
  <w:style w:type="character" w:customStyle="1" w:styleId="berschrift4Zchn">
    <w:name w:val="Überschrift 4 Zchn"/>
    <w:basedOn w:val="Absatz-Standardschriftart"/>
    <w:link w:val="berschrift4"/>
    <w:rsid w:val="00F02F67"/>
    <w:rPr>
      <w:rFonts w:ascii="Dagny Offc" w:eastAsiaTheme="majorEastAsia" w:hAnsi="Dagny Offc" w:cstheme="majorBidi"/>
      <w:b/>
      <w:iCs/>
      <w:color w:val="000000" w:themeColor="text1"/>
      <w:lang w:eastAsia="de-DE"/>
    </w:rPr>
  </w:style>
  <w:style w:type="character" w:customStyle="1" w:styleId="berschrift1Zchn">
    <w:name w:val="Überschrift 1 Zchn"/>
    <w:basedOn w:val="Absatz-Standardschriftart"/>
    <w:link w:val="berschrift1"/>
    <w:uiPriority w:val="9"/>
    <w:rsid w:val="00B17B21"/>
    <w:rPr>
      <w:rFonts w:ascii="Arial" w:eastAsiaTheme="majorEastAsia" w:hAnsi="Arial" w:cstheme="majorBidi"/>
      <w:b/>
      <w:sz w:val="22"/>
      <w:szCs w:val="32"/>
    </w:rPr>
  </w:style>
  <w:style w:type="paragraph" w:styleId="Funotentext">
    <w:name w:val="footnote text"/>
    <w:basedOn w:val="Standard"/>
    <w:link w:val="FunotentextZchn"/>
    <w:uiPriority w:val="99"/>
    <w:unhideWhenUsed/>
    <w:rsid w:val="00B17B21"/>
    <w:rPr>
      <w:sz w:val="20"/>
      <w:szCs w:val="20"/>
    </w:rPr>
  </w:style>
  <w:style w:type="character" w:customStyle="1" w:styleId="FunotentextZchn">
    <w:name w:val="Fußnotentext Zchn"/>
    <w:basedOn w:val="Absatz-Standardschriftart"/>
    <w:link w:val="Funotentext"/>
    <w:uiPriority w:val="99"/>
    <w:rsid w:val="00B17B21"/>
    <w:rPr>
      <w:rFonts w:ascii="Arial" w:hAnsi="Arial" w:cs="Arial"/>
      <w:sz w:val="20"/>
      <w:szCs w:val="20"/>
    </w:rPr>
  </w:style>
  <w:style w:type="character" w:styleId="Funotenzeichen">
    <w:name w:val="footnote reference"/>
    <w:basedOn w:val="Absatz-Standardschriftart"/>
    <w:uiPriority w:val="99"/>
    <w:semiHidden/>
    <w:unhideWhenUsed/>
    <w:rsid w:val="00B17B21"/>
    <w:rPr>
      <w:vertAlign w:val="superscript"/>
    </w:rPr>
  </w:style>
  <w:style w:type="character" w:styleId="Kommentarzeichen">
    <w:name w:val="annotation reference"/>
    <w:basedOn w:val="Absatz-Standardschriftart"/>
    <w:uiPriority w:val="99"/>
    <w:semiHidden/>
    <w:unhideWhenUsed/>
    <w:rsid w:val="00B17B21"/>
    <w:rPr>
      <w:sz w:val="16"/>
      <w:szCs w:val="16"/>
    </w:rPr>
  </w:style>
  <w:style w:type="paragraph" w:styleId="Kommentartext">
    <w:name w:val="annotation text"/>
    <w:basedOn w:val="Standard"/>
    <w:link w:val="KommentartextZchn"/>
    <w:uiPriority w:val="99"/>
    <w:semiHidden/>
    <w:unhideWhenUsed/>
    <w:rsid w:val="00B17B21"/>
    <w:rPr>
      <w:sz w:val="20"/>
      <w:szCs w:val="20"/>
    </w:rPr>
  </w:style>
  <w:style w:type="character" w:customStyle="1" w:styleId="KommentartextZchn">
    <w:name w:val="Kommentartext Zchn"/>
    <w:basedOn w:val="Absatz-Standardschriftart"/>
    <w:link w:val="Kommentartext"/>
    <w:uiPriority w:val="99"/>
    <w:semiHidden/>
    <w:rsid w:val="00B17B2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4C9DBA47783147931C07E8ABE772CF" ma:contentTypeVersion="15" ma:contentTypeDescription="Ein neues Dokument erstellen." ma:contentTypeScope="" ma:versionID="4ddd9d289a298d3f0c3a4d6931eb3f1a">
  <xsd:schema xmlns:xsd="http://www.w3.org/2001/XMLSchema" xmlns:xs="http://www.w3.org/2001/XMLSchema" xmlns:p="http://schemas.microsoft.com/office/2006/metadata/properties" xmlns:ns2="fbabd33a-33a1-4df7-99a2-a2431dc67028" xmlns:ns3="c7d54dd1-ae50-4aab-b719-92bf71493c5f" targetNamespace="http://schemas.microsoft.com/office/2006/metadata/properties" ma:root="true" ma:fieldsID="9c7482592b36cd45b6dcaeda04cc2845" ns2:_="" ns3:_="">
    <xsd:import namespace="fbabd33a-33a1-4df7-99a2-a2431dc67028"/>
    <xsd:import namespace="c7d54dd1-ae50-4aab-b719-92bf71493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bd33a-33a1-4df7-99a2-a2431dc67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9f76699f-c851-4c6d-8c71-8eaffe3a82d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54dd1-ae50-4aab-b719-92bf71493c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8eb1adc-68aa-49ec-a5ef-dfbe3fff7af9}" ma:internalName="TaxCatchAll" ma:showField="CatchAllData" ma:web="c7d54dd1-ae50-4aab-b719-92bf71493c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abd33a-33a1-4df7-99a2-a2431dc67028">
      <Terms xmlns="http://schemas.microsoft.com/office/infopath/2007/PartnerControls"/>
    </lcf76f155ced4ddcb4097134ff3c332f>
    <TaxCatchAll xmlns="c7d54dd1-ae50-4aab-b719-92bf71493c5f" xsi:nil="true"/>
  </documentManagement>
</p:properties>
</file>

<file path=customXml/itemProps1.xml><?xml version="1.0" encoding="utf-8"?>
<ds:datastoreItem xmlns:ds="http://schemas.openxmlformats.org/officeDocument/2006/customXml" ds:itemID="{404E126D-58B9-4E53-9680-3A4F832F767E}">
  <ds:schemaRefs>
    <ds:schemaRef ds:uri="http://schemas.microsoft.com/sharepoint/v3/contenttype/forms"/>
  </ds:schemaRefs>
</ds:datastoreItem>
</file>

<file path=customXml/itemProps2.xml><?xml version="1.0" encoding="utf-8"?>
<ds:datastoreItem xmlns:ds="http://schemas.openxmlformats.org/officeDocument/2006/customXml" ds:itemID="{D900566D-B61B-4394-AD30-8C67E400D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bd33a-33a1-4df7-99a2-a2431dc67028"/>
    <ds:schemaRef ds:uri="c7d54dd1-ae50-4aab-b719-92bf71493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A58C4-992F-4D51-B5CC-540A4D74755F}">
  <ds:schemaRefs>
    <ds:schemaRef ds:uri="http://schemas.microsoft.com/office/2006/metadata/properties"/>
    <ds:schemaRef ds:uri="http://schemas.microsoft.com/office/infopath/2007/PartnerControls"/>
    <ds:schemaRef ds:uri="fbabd33a-33a1-4df7-99a2-a2431dc67028"/>
    <ds:schemaRef ds:uri="c7d54dd1-ae50-4aab-b719-92bf71493c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4921</Characters>
  <Application>Microsoft Office Word</Application>
  <DocSecurity>0</DocSecurity>
  <Lines>41</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Albert</dc:creator>
  <cp:keywords/>
  <dc:description/>
  <cp:lastModifiedBy>Theresa Albert</cp:lastModifiedBy>
  <cp:revision>3</cp:revision>
  <dcterms:created xsi:type="dcterms:W3CDTF">2022-12-20T11:22:00Z</dcterms:created>
  <dcterms:modified xsi:type="dcterms:W3CDTF">2022-12-20T15:02:00Z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0x010100B74C9DBA47783147931C07E8ABE772CF</vt:lpwstr>
  </property>
</Properties>
</file>